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A3BC8">
      <w:pPr>
        <w:pStyle w:val="8"/>
        <w:jc w:val="center"/>
        <w:rPr>
          <w:rStyle w:val="9"/>
          <w:rFonts w:ascii="Verdana" w:hAnsi="Verdana"/>
          <w:b/>
          <w:bCs/>
          <w:color w:val="0070C0"/>
          <w:sz w:val="18"/>
          <w:szCs w:val="18"/>
          <w:u w:color="0070C0"/>
        </w:rPr>
      </w:pPr>
      <w:r>
        <w:rPr>
          <w:rFonts w:ascii="Verdana" w:hAnsi="Verdana"/>
          <w:b/>
          <w:bCs/>
          <w:color w:val="0070C0"/>
          <w:sz w:val="18"/>
          <w:szCs w:val="18"/>
          <w:u w:color="0070C0"/>
        </w:rPr>
        <w:drawing>
          <wp:inline distT="0" distB="0" distL="0" distR="0">
            <wp:extent cx="6332220" cy="1692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FB86F">
      <w:pPr>
        <w:pStyle w:val="8"/>
        <w:jc w:val="center"/>
        <w:rPr>
          <w:rStyle w:val="9"/>
          <w:rFonts w:ascii="Verdana" w:hAnsi="Verdana"/>
          <w:b/>
          <w:bCs/>
          <w:color w:val="0070C0"/>
          <w:sz w:val="18"/>
          <w:szCs w:val="18"/>
          <w:u w:color="0070C0"/>
        </w:rPr>
      </w:pPr>
    </w:p>
    <w:p w14:paraId="307844C1">
      <w:pPr>
        <w:pStyle w:val="5"/>
        <w:spacing w:before="74"/>
        <w:ind w:left="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Критерии</w:t>
      </w:r>
      <w:r>
        <w:rPr>
          <w:rFonts w:ascii="Verdana" w:hAnsi="Verdana"/>
          <w:b/>
          <w:spacing w:val="-7"/>
          <w:sz w:val="20"/>
          <w:szCs w:val="20"/>
        </w:rPr>
        <w:t xml:space="preserve"> </w:t>
      </w:r>
      <w:r>
        <w:rPr>
          <w:rFonts w:ascii="Verdana" w:hAnsi="Verdana"/>
          <w:b/>
          <w:spacing w:val="-2"/>
          <w:sz w:val="20"/>
          <w:szCs w:val="20"/>
        </w:rPr>
        <w:t>номинации</w:t>
      </w:r>
    </w:p>
    <w:p w14:paraId="59406F69">
      <w:pPr>
        <w:pStyle w:val="5"/>
        <w:jc w:val="center"/>
        <w:rPr>
          <w:rFonts w:ascii="Verdana" w:hAnsi="Verdana"/>
          <w:b/>
          <w:spacing w:val="-4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«Лучший агентоориентированный сервис от девелопера 2025</w:t>
      </w:r>
      <w:r>
        <w:rPr>
          <w:rFonts w:ascii="Verdana" w:hAnsi="Verdana"/>
          <w:b/>
          <w:spacing w:val="-4"/>
          <w:sz w:val="20"/>
          <w:szCs w:val="20"/>
        </w:rPr>
        <w:t>»</w:t>
      </w:r>
    </w:p>
    <w:p w14:paraId="71AFBC40">
      <w:pPr>
        <w:pStyle w:val="5"/>
        <w:rPr>
          <w:rFonts w:ascii="Verdana" w:hAnsi="Verdana"/>
          <w:spacing w:val="-4"/>
          <w:sz w:val="18"/>
          <w:szCs w:val="18"/>
        </w:rPr>
      </w:pPr>
    </w:p>
    <w:p w14:paraId="5FA9119C">
      <w:pPr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Все конкурсные работы рассматриваются конкурсной комиссией на основе перечисленных выше критериев в сроки, установленные Оргкомитетом Конкурса.</w:t>
      </w:r>
    </w:p>
    <w:p w14:paraId="202FD478">
      <w:pPr>
        <w:jc w:val="both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Методика оценки: соответствие присланных конкурсных работ участников каждому из критериев оценивается по бальной системе членами КК строго индивидуально и независимо. Член комиссии после ознакомления с конкурсными работами должен заполнить оценочный лист (бюллетень) по предоставленному образцу, подписать и передать его председателю КК.</w:t>
      </w:r>
    </w:p>
    <w:p w14:paraId="50D3C635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ru-RU"/>
        </w:rPr>
        <w:t xml:space="preserve">По результатам обработки оценочных листов составляется сводная ведомость, на основании которой конкурсная комиссии на своем очном заседании утверждает трех номинантов и передает список со своими рекомендациями председателю </w:t>
      </w:r>
      <w:r>
        <w:rPr>
          <w:rFonts w:ascii="Verdana" w:hAnsi="Verdana" w:cs="Arial"/>
          <w:sz w:val="18"/>
          <w:szCs w:val="18"/>
        </w:rPr>
        <w:t>Единой КК для окончательного распределения трех призовых мест.</w:t>
      </w:r>
    </w:p>
    <w:p w14:paraId="29172FD5">
      <w:pPr>
        <w:ind w:hanging="2"/>
        <w:rPr>
          <w:rFonts w:ascii="Verdana" w:hAnsi="Verdana" w:eastAsia="Verdana"/>
          <w:color w:val="000000"/>
          <w:sz w:val="18"/>
          <w:szCs w:val="18"/>
        </w:rPr>
      </w:pPr>
    </w:p>
    <w:p w14:paraId="32471D9C">
      <w:pPr>
        <w:pStyle w:val="8"/>
        <w:jc w:val="center"/>
        <w:rPr>
          <w:rStyle w:val="9"/>
          <w:rFonts w:ascii="Verdana" w:hAnsi="Verdana"/>
          <w:b/>
          <w:bCs/>
          <w:color w:val="0070C0"/>
          <w:sz w:val="18"/>
          <w:szCs w:val="18"/>
          <w:u w:color="0070C0"/>
        </w:rPr>
      </w:pPr>
    </w:p>
    <w:p w14:paraId="7EF4472A">
      <w:pPr>
        <w:pStyle w:val="8"/>
        <w:rPr>
          <w:rStyle w:val="9"/>
          <w:rFonts w:ascii="Verdana" w:hAnsi="Verdana" w:eastAsia="Arial Narrow" w:cs="Times New Roman"/>
          <w:color w:val="auto"/>
          <w:sz w:val="18"/>
          <w:szCs w:val="18"/>
          <w:u w:color="FF0000"/>
        </w:rPr>
      </w:pPr>
    </w:p>
    <w:p w14:paraId="7A57EE98">
      <w:pPr>
        <w:pStyle w:val="8"/>
        <w:rPr>
          <w:rStyle w:val="9"/>
          <w:rFonts w:ascii="Verdana" w:hAnsi="Verdana" w:eastAsia="Arial Narrow" w:cs="Times New Roman"/>
          <w:color w:val="auto"/>
          <w:sz w:val="18"/>
          <w:szCs w:val="18"/>
          <w:u w:color="FF0000"/>
        </w:rPr>
      </w:pPr>
      <w:r>
        <w:rPr>
          <w:rStyle w:val="9"/>
          <w:rFonts w:ascii="Verdana" w:hAnsi="Verdana" w:eastAsia="Arial Narrow" w:cs="Times New Roman"/>
          <w:color w:val="auto"/>
          <w:sz w:val="18"/>
          <w:szCs w:val="18"/>
          <w:u w:color="FF0000"/>
        </w:rPr>
        <w:t>Требования к подтверждающим документам:</w:t>
      </w:r>
    </w:p>
    <w:p w14:paraId="262892EF">
      <w:pPr>
        <w:pStyle w:val="8"/>
        <w:rPr>
          <w:rStyle w:val="9"/>
          <w:rFonts w:ascii="Verdana" w:hAnsi="Verdana" w:eastAsia="Arial Narrow" w:cs="Times New Roman"/>
          <w:color w:val="auto"/>
          <w:sz w:val="18"/>
          <w:szCs w:val="18"/>
          <w:u w:color="FF0000"/>
        </w:rPr>
      </w:pPr>
      <w:r>
        <w:rPr>
          <w:rStyle w:val="9"/>
          <w:rFonts w:ascii="Verdana" w:hAnsi="Verdana" w:eastAsia="Arial Narrow" w:cs="Times New Roman"/>
          <w:color w:val="auto"/>
          <w:sz w:val="18"/>
          <w:szCs w:val="18"/>
          <w:u w:color="FF0000"/>
        </w:rPr>
        <w:t xml:space="preserve">- Материалы предоставляются пронумерованными, согласно нумерации критериев. </w:t>
      </w:r>
    </w:p>
    <w:p w14:paraId="6B182E2F">
      <w:pPr>
        <w:pStyle w:val="8"/>
        <w:rPr>
          <w:rStyle w:val="9"/>
          <w:rFonts w:ascii="Verdana" w:hAnsi="Verdana" w:eastAsia="Arial Narrow" w:cs="Times New Roman"/>
          <w:color w:val="auto"/>
          <w:sz w:val="18"/>
          <w:szCs w:val="18"/>
          <w:u w:color="FF0000"/>
        </w:rPr>
      </w:pPr>
      <w:r>
        <w:rPr>
          <w:rStyle w:val="9"/>
          <w:rFonts w:ascii="Verdana" w:hAnsi="Verdana" w:eastAsia="Arial Narrow" w:cs="Times New Roman"/>
          <w:color w:val="auto"/>
          <w:sz w:val="18"/>
          <w:szCs w:val="18"/>
          <w:u w:color="FF0000"/>
        </w:rPr>
        <w:t>- Справки должны быть заверены печатью и подписью руководителя и предоставляются в виде сканов.</w:t>
      </w:r>
    </w:p>
    <w:p w14:paraId="6D28147B">
      <w:pPr>
        <w:pStyle w:val="8"/>
        <w:jc w:val="center"/>
        <w:rPr>
          <w:rStyle w:val="9"/>
          <w:rFonts w:ascii="Verdana" w:hAnsi="Verdana" w:eastAsia="Arial Narrow" w:cs="Arial Narrow"/>
          <w:b/>
          <w:bCs/>
          <w:color w:val="FF0000"/>
          <w:sz w:val="18"/>
          <w:szCs w:val="18"/>
          <w:u w:color="FF0000"/>
        </w:rPr>
      </w:pPr>
    </w:p>
    <w:p w14:paraId="6DD765EA">
      <w:pPr>
        <w:pStyle w:val="8"/>
        <w:jc w:val="center"/>
        <w:rPr>
          <w:rStyle w:val="9"/>
          <w:rFonts w:ascii="Verdana" w:hAnsi="Verdana" w:eastAsia="Arial Narrow" w:cs="Arial Narrow"/>
          <w:b/>
          <w:bCs/>
          <w:color w:val="FF0000"/>
          <w:sz w:val="18"/>
          <w:szCs w:val="18"/>
          <w:u w:color="FF0000"/>
        </w:rPr>
      </w:pPr>
    </w:p>
    <w:tbl>
      <w:tblPr>
        <w:tblStyle w:val="3"/>
        <w:tblW w:w="1025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8"/>
        <w:gridCol w:w="3368"/>
        <w:gridCol w:w="741"/>
        <w:gridCol w:w="3472"/>
        <w:gridCol w:w="1760"/>
      </w:tblGrid>
      <w:tr w14:paraId="198E8D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72BB">
            <w:pPr>
              <w:pStyle w:val="8"/>
              <w:ind w:left="2161" w:hanging="2161" w:hangingChars="1200"/>
              <w:jc w:val="center"/>
              <w:rPr>
                <w:rStyle w:val="9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B868">
            <w:pPr>
              <w:pStyle w:val="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b/>
                <w:bCs/>
                <w:sz w:val="18"/>
                <w:szCs w:val="18"/>
              </w:rPr>
              <w:t>Группы критериев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DF94">
            <w:pPr>
              <w:pStyle w:val="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AA86">
            <w:pPr>
              <w:pStyle w:val="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b/>
                <w:bCs/>
                <w:sz w:val="18"/>
                <w:szCs w:val="18"/>
              </w:rPr>
              <w:t>Подтверждающие документы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7051">
            <w:pPr>
              <w:pStyle w:val="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b/>
                <w:bCs/>
                <w:sz w:val="18"/>
                <w:szCs w:val="18"/>
              </w:rPr>
              <w:t>Баллы</w:t>
            </w:r>
          </w:p>
        </w:tc>
      </w:tr>
      <w:tr w14:paraId="76CD175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0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5FD8">
            <w:pPr>
              <w:pStyle w:val="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b/>
                <w:bCs/>
                <w:sz w:val="18"/>
                <w:szCs w:val="18"/>
              </w:rPr>
              <w:t>1. Основные требования</w:t>
            </w:r>
          </w:p>
        </w:tc>
      </w:tr>
      <w:tr w14:paraId="591BEE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1D8F1">
            <w:pPr>
              <w:pStyle w:val="8"/>
              <w:ind w:left="2160" w:hanging="2160" w:hangingChars="1200"/>
              <w:rPr>
                <w:rStyle w:val="9"/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1.1.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507B8">
            <w:pPr>
              <w:pStyle w:val="8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Наличие документов, подтверждающих форму деятельности юридического лица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EEB68">
            <w:pPr>
              <w:pStyle w:val="8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Да/нет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628E">
            <w:pPr>
              <w:pStyle w:val="8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Свидетельство о регистрации ЮЛ, выписка из ЕГРИП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3215A">
            <w:pPr>
              <w:pStyle w:val="8"/>
              <w:jc w:val="center"/>
              <w:rPr>
                <w:rFonts w:hint="default" w:ascii="Verdana" w:hAnsi="Verdana"/>
                <w:sz w:val="18"/>
                <w:szCs w:val="18"/>
                <w:lang w:val="ru-RU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1 балл</w:t>
            </w:r>
            <w:r>
              <w:rPr>
                <w:rStyle w:val="9"/>
                <w:rFonts w:hint="default" w:ascii="Verdana" w:hAnsi="Verdana"/>
                <w:sz w:val="18"/>
                <w:szCs w:val="18"/>
                <w:lang w:val="ru-RU"/>
              </w:rPr>
              <w:t xml:space="preserve"> или 0</w:t>
            </w:r>
          </w:p>
        </w:tc>
      </w:tr>
      <w:tr w14:paraId="11A54E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30857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1.2.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D12B3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Наличие заключенных договоров с риэлторскими компаниями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1D30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Да</w:t>
            </w:r>
          </w:p>
          <w:p w14:paraId="68490512">
            <w:pPr>
              <w:pStyle w:val="10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D6035">
            <w:pPr>
              <w:pStyle w:val="10"/>
              <w:widowControl w:val="0"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</w:rPr>
              <w:t>Копии договор. Регламенты работы с агентами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99D7D">
            <w:pPr>
              <w:pStyle w:val="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10 баллов</w:t>
            </w:r>
          </w:p>
        </w:tc>
      </w:tr>
      <w:tr w14:paraId="50135F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5414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1.3.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C54B7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 xml:space="preserve">Возможность фиксации клиента у девелопера на определенный срок.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EBBF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Да</w:t>
            </w:r>
          </w:p>
          <w:p w14:paraId="571F0D9A">
            <w:pPr>
              <w:pStyle w:val="10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FD95">
            <w:pPr>
              <w:pStyle w:val="10"/>
              <w:widowControl w:val="0"/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</w:rPr>
              <w:t>Копии договор. Регламенты работы с агентами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1DE42">
            <w:pPr>
              <w:pStyle w:val="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10 баллов</w:t>
            </w:r>
          </w:p>
        </w:tc>
      </w:tr>
      <w:tr w14:paraId="3CFC9DE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FFB1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1.4.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51452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 xml:space="preserve">Наличие выплаченных комиссий по агентским договорам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B31A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Да</w:t>
            </w:r>
          </w:p>
          <w:p w14:paraId="433C05A6">
            <w:pPr>
              <w:pStyle w:val="10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3BCA">
            <w:pPr>
              <w:pStyle w:val="10"/>
              <w:widowControl w:val="0"/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Выписки, подтверждающие платежи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C9D71">
            <w:pPr>
              <w:pStyle w:val="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10 баллов</w:t>
            </w:r>
          </w:p>
        </w:tc>
      </w:tr>
      <w:tr w14:paraId="549444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619D2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1.5.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24365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sz w:val="18"/>
                <w:szCs w:val="18"/>
              </w:rPr>
              <w:t>Возможность рекламы объектов агентствами недвижимости-партнерами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F074E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Да</w:t>
            </w:r>
          </w:p>
          <w:p w14:paraId="47F4E9A4">
            <w:pPr>
              <w:pStyle w:val="10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3337D">
            <w:pPr>
              <w:pStyle w:val="10"/>
              <w:widowControl w:val="0"/>
              <w:suppressAutoHyphens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</w:rPr>
              <w:t>Ссылки на рекламу объектов агентами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3E98A">
            <w:pPr>
              <w:pStyle w:val="10"/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kern w:val="1"/>
                <w:sz w:val="18"/>
                <w:szCs w:val="18"/>
                <w:lang w:val="en-US"/>
              </w:rPr>
              <w:t>10 баллов</w:t>
            </w:r>
          </w:p>
        </w:tc>
      </w:tr>
      <w:tr w14:paraId="060C95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820C">
            <w:pPr>
              <w:pStyle w:val="8"/>
              <w:ind w:left="2161" w:hanging="2161" w:hangingChars="1200"/>
              <w:jc w:val="center"/>
              <w:rPr>
                <w:rStyle w:val="9"/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D779">
            <w:pPr>
              <w:pStyle w:val="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9"/>
                <w:rFonts w:ascii="Verdana" w:hAnsi="Verdana"/>
                <w:b/>
                <w:bCs/>
                <w:sz w:val="18"/>
                <w:szCs w:val="18"/>
              </w:rPr>
              <w:t>2. Основные показатели работ</w:t>
            </w:r>
          </w:p>
        </w:tc>
      </w:tr>
      <w:tr w14:paraId="5D9962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CED2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2.1.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B2CF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hint="default" w:ascii="Verdana" w:hAnsi="Verdana"/>
                <w:sz w:val="18"/>
                <w:szCs w:val="18"/>
              </w:rPr>
              <w:t>Доля агентских продаж в % в общей структуре продаж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15C9">
            <w:pPr>
              <w:pStyle w:val="8"/>
              <w:ind w:firstLine="180" w:firstLineChars="10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%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671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Отчеты по продажам за 202</w:t>
            </w:r>
            <w:r>
              <w:rPr>
                <w:rStyle w:val="9"/>
                <w:rFonts w:hint="default" w:ascii="Verdana" w:hAnsi="Verdana" w:cs="Times New Roman"/>
                <w:sz w:val="18"/>
                <w:szCs w:val="18"/>
                <w:lang w:val="ru-RU"/>
              </w:rPr>
              <w:t>4</w:t>
            </w: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E863E">
            <w:pPr>
              <w:pStyle w:val="10"/>
              <w:tabs>
                <w:tab w:val="left" w:pos="708"/>
                <w:tab w:val="left" w:pos="1416"/>
              </w:tabs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 xml:space="preserve">От 0 до 10-1 </w:t>
            </w:r>
          </w:p>
          <w:p w14:paraId="1992D1B0">
            <w:pPr>
              <w:pStyle w:val="10"/>
              <w:tabs>
                <w:tab w:val="left" w:pos="708"/>
                <w:tab w:val="left" w:pos="1416"/>
              </w:tabs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От 10 до 20 - 2</w:t>
            </w:r>
          </w:p>
          <w:p w14:paraId="0DA4F5A6">
            <w:pPr>
              <w:pStyle w:val="10"/>
              <w:tabs>
                <w:tab w:val="left" w:pos="708"/>
                <w:tab w:val="left" w:pos="1416"/>
              </w:tabs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От 20 до 30 - 3</w:t>
            </w:r>
          </w:p>
          <w:p w14:paraId="60846560">
            <w:pPr>
              <w:pStyle w:val="10"/>
              <w:tabs>
                <w:tab w:val="left" w:pos="708"/>
                <w:tab w:val="left" w:pos="1416"/>
              </w:tabs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От 30до 40 - 4</w:t>
            </w:r>
          </w:p>
          <w:p w14:paraId="32F55566">
            <w:pPr>
              <w:pStyle w:val="10"/>
              <w:tabs>
                <w:tab w:val="left" w:pos="708"/>
                <w:tab w:val="left" w:pos="1416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Свыше 40%  - 5</w:t>
            </w:r>
          </w:p>
        </w:tc>
      </w:tr>
      <w:tr w14:paraId="12EBA5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EBE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5DE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Наличие регулярного обучения агентов по процессам реализации, а так же обучений, направленных на знание объекта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2AF7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3DB4329C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49FC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</w:rPr>
              <w:t xml:space="preserve">Регламент работы с партнерами, ссылки на фото-видеоматериалы, социальные сети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4342">
            <w:pPr>
              <w:pStyle w:val="8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1 балл</w:t>
            </w:r>
          </w:p>
        </w:tc>
      </w:tr>
      <w:tr w14:paraId="256732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3A30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2.3.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F18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Наличие брокер - туров для агентов с целью изучения объекта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1D4E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6A430CAC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BA59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</w:rPr>
              <w:t xml:space="preserve">Регламент работы с партнерами, ссылки на фото-видеоматериалы, социальные сети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0534">
            <w:pPr>
              <w:pStyle w:val="8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 балла</w:t>
            </w:r>
          </w:p>
        </w:tc>
      </w:tr>
      <w:tr w14:paraId="560D64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D4968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2.4.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EFBF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Организация мероприятий для риэлторского сообщества ( праздники, корпоративы)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F806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2F977155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42F9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</w:rPr>
              <w:t xml:space="preserve">Регламент работы с партнерами, ссылки на фото-видеоматериалы, социальные сети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D9B1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1 балл</w:t>
            </w:r>
          </w:p>
        </w:tc>
      </w:tr>
      <w:tr w14:paraId="7B2A9D9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E1C37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2.5.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D6A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Наличие программы лояльности, конкурсов для агентов.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A95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5E1C8DDF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C126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 xml:space="preserve">Регламент взаимодействия с партнерами, видео и фотоматериалы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EDFC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2 балла</w:t>
            </w:r>
          </w:p>
        </w:tc>
      </w:tr>
      <w:tr w14:paraId="4D0DAE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B11E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2.6.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063A2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Наличие специальных условий для покупки объектов для агентов.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A6DF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2E863B68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47AF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</w:rPr>
              <w:t>ПОДТВЕРЖДАЮЩИЕ ДОКУМЕНТЫ НА УСМОТРЕНИЕ КОНКУРСАНТА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AB70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5 баллов</w:t>
            </w:r>
          </w:p>
        </w:tc>
      </w:tr>
      <w:tr w14:paraId="3E9D08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62E8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2.7.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0A9CB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 xml:space="preserve"> Отзывы риэлторов  о взаимодействии с девелоперской компанией.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3848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592FB1AB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50F1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</w:rPr>
              <w:t>Ссылки на фото-видеоматериалы, сканы отзывов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3730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1 балл</w:t>
            </w:r>
          </w:p>
        </w:tc>
      </w:tr>
      <w:tr w14:paraId="1D8C30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8692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2.8.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D053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Наличие пространства для общения риэлторов с клиентами на территории девелопера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AFC8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02E77084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6A19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 xml:space="preserve">Фото - видеоматериалы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52F0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1 балл</w:t>
            </w:r>
          </w:p>
        </w:tc>
      </w:tr>
      <w:tr w14:paraId="2F5CD9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36ED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2.9.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470F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Фиксация клиента по номеру телефона или смс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E46C8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7AB63344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B46F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</w:rPr>
              <w:t>Регламент взаимодействия с партнерами. Остальные подтверждения на усмотрение конкурсов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A2C56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3 балла</w:t>
            </w:r>
          </w:p>
        </w:tc>
      </w:tr>
      <w:tr w14:paraId="418B19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A1D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2.10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C5C8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Наличие менеджера по работе с партнерами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1FF5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337F98A9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5339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</w:rPr>
              <w:t>Регламент взаимодействия с партнерами. Остальные подтверждения на усмотрение конкурсов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73D2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5 баллов</w:t>
            </w:r>
          </w:p>
        </w:tc>
      </w:tr>
      <w:tr w14:paraId="51F8B7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CFA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2.11.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23B8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Наличие чата для информирования агентов.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4B57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7438BF40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4FE2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Ссылка на чат.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A3268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1 балл</w:t>
            </w:r>
          </w:p>
        </w:tc>
      </w:tr>
      <w:tr w14:paraId="16A435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3F31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2.12.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F9D7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 xml:space="preserve">Доступ к акционным предложениям застройщика.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58E0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318CAFC4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932D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</w:rPr>
              <w:t>Способы подтверждения на усмотрение конкурсанта.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3B5E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3 балла</w:t>
            </w:r>
          </w:p>
        </w:tc>
      </w:tr>
      <w:tr w14:paraId="386FC6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7B52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2.13.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4F943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 xml:space="preserve">Регулярное участие в мероприятиях риэлторского сообщества города.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2DF9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590E270B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075C">
            <w:pPr>
              <w:pStyle w:val="10"/>
              <w:widowControl w:val="0"/>
              <w:suppressAutoHyphen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</w:rPr>
              <w:t>Документы об участии, фото- видео материалы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588D">
            <w:pPr>
              <w:pStyle w:val="8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1 балл</w:t>
            </w:r>
          </w:p>
        </w:tc>
      </w:tr>
    </w:tbl>
    <w:p w14:paraId="14569A47">
      <w:pPr>
        <w:pStyle w:val="8"/>
        <w:ind w:left="216" w:hanging="216"/>
        <w:jc w:val="center"/>
        <w:rPr>
          <w:rStyle w:val="9"/>
          <w:rFonts w:ascii="Verdana" w:hAnsi="Verdana" w:eastAsia="Arial Narrow" w:cs="Arial Narrow"/>
          <w:b/>
          <w:bCs/>
          <w:color w:val="FF0000"/>
          <w:sz w:val="18"/>
          <w:szCs w:val="18"/>
          <w:u w:color="FF0000"/>
        </w:rPr>
      </w:pPr>
    </w:p>
    <w:tbl>
      <w:tblPr>
        <w:tblStyle w:val="3"/>
        <w:tblW w:w="1025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8"/>
        <w:gridCol w:w="3368"/>
        <w:gridCol w:w="741"/>
        <w:gridCol w:w="3472"/>
        <w:gridCol w:w="1760"/>
      </w:tblGrid>
      <w:tr w14:paraId="221346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EA74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2160" w:hanging="2160" w:hangingChars="1200"/>
              <w:jc w:val="both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2.1</w:t>
            </w:r>
            <w:r>
              <w:rPr>
                <w:rStyle w:val="9"/>
                <w:rFonts w:hint="default" w:ascii="Verdana" w:hAnsi="Verdana" w:cs="Times New Roman"/>
                <w:sz w:val="18"/>
                <w:szCs w:val="18"/>
                <w:lang w:val="ru-RU"/>
              </w:rPr>
              <w:t>4</w:t>
            </w: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A07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Процедура</w:t>
            </w:r>
            <w:r>
              <w:rPr>
                <w:rStyle w:val="9"/>
                <w:rFonts w:hint="default" w:ascii="Verdana" w:hAnsi="Verdana" w:cs="Times New Roman"/>
                <w:sz w:val="18"/>
                <w:szCs w:val="18"/>
                <w:lang w:val="ru-RU"/>
              </w:rPr>
              <w:t xml:space="preserve"> фиксации клиента за агентом.</w:t>
            </w: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16FF">
            <w:pPr>
              <w:pStyle w:val="10"/>
              <w:widowControl w:val="0"/>
              <w:suppressAutoHyphens/>
              <w:jc w:val="center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Да</w:t>
            </w:r>
          </w:p>
          <w:p w14:paraId="69B1EB08">
            <w:pPr>
              <w:pStyle w:val="10"/>
              <w:widowControl w:val="0"/>
              <w:suppressAutoHyphens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kern w:val="1"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4284">
            <w:pPr>
              <w:pStyle w:val="10"/>
              <w:widowControl w:val="0"/>
              <w:suppressAutoHyphens/>
              <w:rPr>
                <w:rFonts w:hint="default" w:ascii="Verdana" w:hAnsi="Verdana" w:cs="Times New Roman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Предоставляется</w:t>
            </w:r>
            <w:r>
              <w:rPr>
                <w:rFonts w:hint="default" w:ascii="Verdana" w:hAnsi="Verdana" w:cs="Times New Roman"/>
                <w:sz w:val="18"/>
                <w:szCs w:val="18"/>
                <w:lang w:val="ru-RU"/>
              </w:rPr>
              <w:t xml:space="preserve"> документ.</w:t>
            </w:r>
          </w:p>
          <w:p w14:paraId="48244508">
            <w:pPr>
              <w:pStyle w:val="10"/>
              <w:widowControl w:val="0"/>
              <w:suppressAutoHyphens/>
              <w:rPr>
                <w:rFonts w:hint="default" w:ascii="Verdana" w:hAnsi="Verdana" w:cs="Times New Roman"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816A">
            <w:pPr>
              <w:pStyle w:val="8"/>
              <w:rPr>
                <w:rStyle w:val="9"/>
                <w:rFonts w:ascii="Verdana" w:hAnsi="Verdana" w:cs="Times New Roman"/>
                <w:sz w:val="18"/>
                <w:szCs w:val="18"/>
              </w:rPr>
            </w:pP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Style w:val="9"/>
                <w:rFonts w:hint="default" w:ascii="Verdana" w:hAnsi="Verdana" w:cs="Times New Roman"/>
                <w:sz w:val="18"/>
                <w:szCs w:val="18"/>
                <w:lang w:val="ru-RU"/>
              </w:rPr>
              <w:t xml:space="preserve">0 </w:t>
            </w:r>
            <w:r>
              <w:rPr>
                <w:rStyle w:val="9"/>
                <w:rFonts w:ascii="Verdana" w:hAnsi="Verdana" w:cs="Times New Roman"/>
                <w:sz w:val="18"/>
                <w:szCs w:val="18"/>
              </w:rPr>
              <w:t>баллов</w:t>
            </w:r>
          </w:p>
          <w:p w14:paraId="02EF323A">
            <w:pPr>
              <w:pStyle w:val="8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 xml:space="preserve"> - 10: Полностью понятная процедура фиксации клиента, доступная для всех партнеров и сотрудников</w:t>
            </w:r>
          </w:p>
          <w:p w14:paraId="2F11E14F">
            <w:pPr>
              <w:pStyle w:val="8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 xml:space="preserve">   - 7-9: Процедура фиксирована, но требует некоторых уточнений и доработок.</w:t>
            </w:r>
          </w:p>
          <w:p w14:paraId="39E45B4B">
            <w:pPr>
              <w:pStyle w:val="8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 xml:space="preserve">   - 4-6: Процедура частично разработана, но нуждается в оптимизации и дополнительном документировании.</w:t>
            </w:r>
          </w:p>
          <w:p w14:paraId="638B0C79">
            <w:pPr>
              <w:pStyle w:val="8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 xml:space="preserve">   - 1-3: Процедура существует, но она разрозненна и не до конца понятна.</w:t>
            </w:r>
          </w:p>
          <w:p w14:paraId="19419915">
            <w:pPr>
              <w:pStyle w:val="8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 xml:space="preserve">   - 0: Отсутствует процедура фиксации клиента.</w:t>
            </w:r>
          </w:p>
          <w:p w14:paraId="760BEC3D">
            <w:pPr>
              <w:pStyle w:val="8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7C728259">
      <w:pPr>
        <w:pStyle w:val="8"/>
        <w:jc w:val="center"/>
        <w:rPr>
          <w:rStyle w:val="9"/>
          <w:rFonts w:ascii="Verdana" w:hAnsi="Verdana" w:eastAsia="Arial Narrow" w:cs="Arial Narrow"/>
          <w:b/>
          <w:bCs/>
          <w:color w:val="FF0000"/>
          <w:sz w:val="18"/>
          <w:szCs w:val="18"/>
          <w:u w:color="FF0000"/>
        </w:rPr>
      </w:pPr>
    </w:p>
    <w:p w14:paraId="67F439B8">
      <w:pPr>
        <w:pStyle w:val="8"/>
        <w:rPr>
          <w:rStyle w:val="9"/>
          <w:rFonts w:ascii="Verdana" w:hAnsi="Verdana" w:eastAsia="Arial Narrow" w:cs="Arial Narrow"/>
          <w:bCs/>
          <w:color w:val="auto"/>
          <w:sz w:val="18"/>
          <w:szCs w:val="18"/>
          <w:u w:color="FF0000"/>
        </w:rPr>
      </w:pPr>
    </w:p>
    <w:p w14:paraId="037480DF">
      <w:pPr>
        <w:pStyle w:val="8"/>
        <w:rPr>
          <w:rStyle w:val="9"/>
          <w:rFonts w:ascii="Verdana" w:hAnsi="Verdana" w:eastAsia="Arial Narrow" w:cs="Arial Narrow"/>
          <w:bCs/>
          <w:color w:val="auto"/>
          <w:sz w:val="18"/>
          <w:szCs w:val="18"/>
          <w:u w:color="FF0000"/>
        </w:rPr>
      </w:pPr>
      <w:r>
        <w:rPr>
          <w:rStyle w:val="9"/>
          <w:rFonts w:ascii="Verdana" w:hAnsi="Verdana" w:eastAsia="Arial Narrow" w:cs="Arial Narrow"/>
          <w:bCs/>
          <w:color w:val="auto"/>
          <w:sz w:val="18"/>
          <w:szCs w:val="18"/>
          <w:u w:color="FF0000"/>
        </w:rPr>
        <w:t>Председатель конкурсной комиссии Бордюг Александр Анатольевич</w:t>
      </w:r>
    </w:p>
    <w:p w14:paraId="5AAEF75C">
      <w:pPr>
        <w:pStyle w:val="8"/>
        <w:rPr>
          <w:rStyle w:val="9"/>
          <w:rFonts w:ascii="Verdana" w:hAnsi="Verdana" w:eastAsia="Arial Narrow" w:cs="Arial Narrow"/>
          <w:b/>
          <w:bCs/>
          <w:sz w:val="18"/>
          <w:szCs w:val="18"/>
        </w:rPr>
      </w:pPr>
      <w:r>
        <w:rPr>
          <w:rStyle w:val="9"/>
          <w:rFonts w:ascii="Verdana" w:hAnsi="Verdana"/>
          <w:b/>
          <w:bCs/>
          <w:sz w:val="18"/>
          <w:szCs w:val="18"/>
        </w:rPr>
        <w:t xml:space="preserve">    </w:t>
      </w:r>
    </w:p>
    <w:p w14:paraId="6C1DB249">
      <w:pPr>
        <w:pStyle w:val="8"/>
        <w:rPr>
          <w:rFonts w:hint="default" w:ascii="Times New Roman" w:hAnsi="Times New Roman"/>
          <w:sz w:val="20"/>
          <w:szCs w:val="20"/>
        </w:rPr>
      </w:pPr>
    </w:p>
    <w:sectPr>
      <w:headerReference r:id="rId3" w:type="default"/>
      <w:footerReference r:id="rId4" w:type="default"/>
      <w:pgSz w:w="12240" w:h="15840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erif">
    <w:altName w:val="Malgun Gothic Semilight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DejaVu Sans">
    <w:altName w:val="Malgun Gothic Semilight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EE7A8"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D776D">
    <w:pPr>
      <w:pStyle w:val="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9"/>
  <w:characterSpacingControl w:val="doNotCompress"/>
  <w:noLineBreaksAfter w:lang="zh-CN" w:val="‘“(〔[{〈《「『【⦅〘〖«〝︵︷︹︻︽︿﹁﹃﹇﹙﹛﹝｢"/>
  <w:noLineBreaksBefore w:lang="zh-CN" w:val="’”)〕]}〉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8"/>
    <w:rsid w:val="0031100A"/>
    <w:rsid w:val="00793551"/>
    <w:rsid w:val="00811168"/>
    <w:rsid w:val="00AF731A"/>
    <w:rsid w:val="00BB41A6"/>
    <w:rsid w:val="09DB02B3"/>
    <w:rsid w:val="27BF61C6"/>
    <w:rsid w:val="329B1F7E"/>
    <w:rsid w:val="4B15357F"/>
    <w:rsid w:val="5EF83C97"/>
    <w:rsid w:val="60D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paragraph" w:styleId="5">
    <w:name w:val="Body Text"/>
    <w:basedOn w:val="1"/>
    <w:link w:val="11"/>
    <w:uiPriority w:val="0"/>
    <w:pPr>
      <w:widowControl w:val="0"/>
      <w:suppressAutoHyphens/>
      <w:spacing w:after="120"/>
    </w:pPr>
    <w:rPr>
      <w:rFonts w:ascii="Liberation Serif" w:hAnsi="Liberation Serif" w:eastAsia="DejaVu Sans" w:cs="DejaVu Sans"/>
      <w:kern w:val="1"/>
      <w:lang w:val="ru-RU" w:eastAsia="hi-IN" w:bidi="hi-IN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Колонтитулы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ru-RU" w:bidi="ar-SA"/>
    </w:rPr>
  </w:style>
  <w:style w:type="paragraph" w:customStyle="1" w:styleId="8">
    <w:name w:val="Обычный1"/>
    <w:qFormat/>
    <w:uiPriority w:val="0"/>
    <w:pPr>
      <w:widowControl w:val="0"/>
      <w:suppressAutoHyphens/>
    </w:pPr>
    <w:rPr>
      <w:rFonts w:ascii="Arial Unicode MS" w:hAnsi="Arial Unicode MS" w:eastAsia="Arial Unicode MS" w:cs="Arial Unicode MS"/>
      <w:color w:val="000000"/>
      <w:kern w:val="1"/>
      <w:sz w:val="24"/>
      <w:szCs w:val="24"/>
      <w:u w:color="000000"/>
      <w:lang w:val="ru-RU" w:eastAsia="ru-RU" w:bidi="ar-SA"/>
    </w:rPr>
  </w:style>
  <w:style w:type="character" w:customStyle="1" w:styleId="9">
    <w:name w:val="Нет"/>
    <w:qFormat/>
    <w:uiPriority w:val="0"/>
    <w:rPr>
      <w:lang w:val="ru-RU"/>
    </w:rPr>
  </w:style>
  <w:style w:type="paragraph" w:customStyle="1" w:styleId="10">
    <w:name w:val="Основной текст A"/>
    <w:qFormat/>
    <w:uiPriority w:val="0"/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character" w:customStyle="1" w:styleId="11">
    <w:name w:val="Основной текст Знак"/>
    <w:basedOn w:val="2"/>
    <w:link w:val="5"/>
    <w:uiPriority w:val="0"/>
    <w:rPr>
      <w:rFonts w:ascii="Liberation Serif" w:hAnsi="Liberation Serif" w:eastAsia="DejaVu Sans" w:cs="DejaVu Sans"/>
      <w:kern w:val="1"/>
      <w:sz w:val="24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562</Words>
  <Characters>3210</Characters>
  <Lines>26</Lines>
  <Paragraphs>7</Paragraphs>
  <TotalTime>17</TotalTime>
  <ScaleCrop>false</ScaleCrop>
  <LinksUpToDate>false</LinksUpToDate>
  <CharactersWithSpaces>3765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2025-02-10T09:59:00Z</dcterms:created>
  <dc:creator>79023</dc:creator>
  <cp:lastModifiedBy>Александр Бордю�</cp:lastModifiedBy>
  <dcterms:modified xsi:type="dcterms:W3CDTF">2025-02-17T04:38:58Z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84444A4F0877493F8E184603CECDEE1F_12</vt:lpwstr>
  </property>
</Properties>
</file>